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4674" w:rsidRDefault="0022122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NAPLATE POTRAŽIVANJA OD PRAVNIH I FIZIČKIH LICA I PRAVO NA NAKNADU ŠTETE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22122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03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2E467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Pr="00EB103E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  <w:r w:rsidRPr="00EB103E"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TEME</w:t>
            </w:r>
          </w:p>
          <w:p w:rsidR="002E4674" w:rsidRPr="00EB103E" w:rsidRDefault="002E4674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закључења уговора о осигурању наплате потраживања од правних лица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Врсте потраживања које могу бити предмет осигурања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Претходно обезбеђена средства наплате потраживања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Ризици који нису покривени средствима обезбеђења или су средства обезбеђења у међувремену изгубила поузданост, односно гарантну вредност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Подаци о повериоцу и дужнику потребни за оцену и процену ризика, односно осигурљивости, пре закључења уговора о осигурању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закључења уговора о осигурању наплате потраживања од физичких лица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Осигурање потраживања приликом продаје робе на одложено плаћање (на рате) пензионерима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Средства обезбеђења – административна забрана оверена од ПИО фонда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 xml:space="preserve">Осигурани ризици – ризик смрти 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lastRenderedPageBreak/>
              <w:t xml:space="preserve">Ограничења покрића (каренца и иступне године старости) 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Интерес повериоца (продавца) да као уговарач осигурања закључи осигурање и плати премију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Бржа и једноставнија наплата дела ненаплаћених потраживања путем осигурања него принудном наплатом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 xml:space="preserve">Закључено осигурање је веома позитиван маркетиншки наступ код дужника и чланова његове породице 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под којима Уговарач осигурања (поверилац) стиче право на наплату ненаплаћеног дела потраживања.</w:t>
            </w:r>
          </w:p>
          <w:p w:rsidR="009B72BF" w:rsidRPr="00EB103E" w:rsidRDefault="009B72BF" w:rsidP="00EB103E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EB103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B103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bookmarkStart w:id="0" w:name="_GoBack"/>
            <w:bookmarkEnd w:id="0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2E467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22122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02. 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136" w:rsidRDefault="00F81136">
      <w:r>
        <w:separator/>
      </w:r>
    </w:p>
  </w:endnote>
  <w:endnote w:type="continuationSeparator" w:id="0">
    <w:p w:rsidR="00F81136" w:rsidRDefault="00F8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136" w:rsidRDefault="00F81136">
      <w:r>
        <w:separator/>
      </w:r>
    </w:p>
  </w:footnote>
  <w:footnote w:type="continuationSeparator" w:id="0">
    <w:p w:rsidR="00F81136" w:rsidRDefault="00F81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540"/>
        </w:tabs>
        <w:ind w:left="18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B3E9C"/>
    <w:multiLevelType w:val="multilevel"/>
    <w:tmpl w:val="3A706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E7F4A"/>
    <w:multiLevelType w:val="multilevel"/>
    <w:tmpl w:val="403CB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438F9"/>
    <w:multiLevelType w:val="hybridMultilevel"/>
    <w:tmpl w:val="30CAFA28"/>
    <w:lvl w:ilvl="0" w:tplc="8766D0E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7"/>
  </w:num>
  <w:num w:numId="5">
    <w:abstractNumId w:val="25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7"/>
  </w:num>
  <w:num w:numId="11">
    <w:abstractNumId w:val="28"/>
  </w:num>
  <w:num w:numId="12">
    <w:abstractNumId w:val="2"/>
  </w:num>
  <w:num w:numId="13">
    <w:abstractNumId w:val="0"/>
  </w:num>
  <w:num w:numId="14">
    <w:abstractNumId w:val="38"/>
  </w:num>
  <w:num w:numId="15">
    <w:abstractNumId w:val="13"/>
  </w:num>
  <w:num w:numId="16">
    <w:abstractNumId w:val="22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6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6"/>
  </w:num>
  <w:num w:numId="32">
    <w:abstractNumId w:val="35"/>
  </w:num>
  <w:num w:numId="33">
    <w:abstractNumId w:val="10"/>
  </w:num>
  <w:num w:numId="34">
    <w:abstractNumId w:val="32"/>
  </w:num>
  <w:num w:numId="35">
    <w:abstractNumId w:val="4"/>
  </w:num>
  <w:num w:numId="36">
    <w:abstractNumId w:val="5"/>
  </w:num>
  <w:num w:numId="37">
    <w:abstractNumId w:val="39"/>
  </w:num>
  <w:num w:numId="38">
    <w:abstractNumId w:val="20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1227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67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1007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B7625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103E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136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55FE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F53C2-14AE-4E62-9C7A-F4C42FAF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3</cp:revision>
  <cp:lastPrinted>2015-12-22T11:13:00Z</cp:lastPrinted>
  <dcterms:created xsi:type="dcterms:W3CDTF">2022-02-17T09:47:00Z</dcterms:created>
  <dcterms:modified xsi:type="dcterms:W3CDTF">2022-02-17T10:05:00Z</dcterms:modified>
</cp:coreProperties>
</file>